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LP 14 37 vom 20. Oktober 2014</w:t>
      </w:r>
    </w:p>
    <w:p>
      <w:r>
        <w:t>VS Kantonsgericht, 2014-10-20, FR</w:t>
      </w:r>
    </w:p>
    <w:p>
      <w:r>
        <w:rPr>
          <w:b/>
        </w:rPr>
        <w:t xml:space="preserve">Quelle: </w:t>
      </w:r>
      <w:r>
        <w:t>https://mcp.opencaselaw.ch/entscheid/vs_gerichte_LP 14 37</w:t>
      </w:r>
    </w:p>
    <w:p>
      <w:r>
        <w:t>FR: VS_GERICHTE LP 14 37 du 20 octobre 2014</w:t>
      </w:r>
    </w:p>
    <w:p>
      <w:r>
        <w:t>IT: VS_GERICHTE LP 14 37 del 20 ottobre 2014</w:t>
      </w:r>
    </w:p>
    <w:p>
      <w:pPr>
        <w:pStyle w:val="Heading2"/>
      </w:pPr>
      <w:r>
        <w:t>Regeste</w:t>
      </w:r>
    </w:p>
    <w:p>
      <w:r>
        <w:t>- 3 - Considérant que le CPC règle la procédure applicable devant les juridictions cantonales aux décisions judiciaires en matière de droit de la poursuite pour dettes et la faillite, notamment (art. 1 let. c CPC); que la procédure de révision est régie par les articles 328 ss CPC; que la majorité des auteurs admet qu'un jugement de faillite puisse faire l'objet d'une demande de révision au sens des articles 328 ss CPC (DIGELMANN, in Kurzkommentar, Schuldbetreibungs- und Konkursgesetz, 2014, n. 1 ad art. 195 LP; BRUNNER/BOLLER, Commentaire bâlois, 2010, n. 6 ad art. 195 LP; VOCK/MÜLLER, SchKG-Klagen nach der Schweizerischen ZPO, 2012, p. 238; sur l'admission de la révision relativement à des jugements rendus en procédure sommaire : STERCHI, Commentaire bernois, 2012, n. 9 ad art. 328 CPC; HERZOG, Commentaire bâlois, 2013, n. 28 ad art. 328 CPC; d'un avis contraire : GILLIÉRON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rejetée.</w:t>
      </w:r>
    </w:p>
    <w:p>
      <w:r>
        <w:rPr>
          <w:b/>
        </w:rPr>
        <w:t>E. 2</w:t>
      </w:r>
    </w:p>
    <w:p>
      <w:r>
        <w:t>Les frais, par 500 fr., sont mis à la charge de X_________ SA en liquidation.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t>Sion, le 20 octobre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